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6D1509" w:rsidRPr="006D1509" w:rsidRDefault="006D1509" w:rsidP="006D150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</w:t>
      </w:r>
      <w:r w:rsidRPr="006D1509">
        <w:rPr>
          <w:b/>
          <w:bCs/>
          <w:color w:val="333333"/>
          <w:sz w:val="28"/>
          <w:szCs w:val="28"/>
        </w:rPr>
        <w:t>орядок оплаты труда в выходные и праздничные дни</w:t>
      </w:r>
    </w:p>
    <w:p w:rsidR="006D1509" w:rsidRPr="006D1509" w:rsidRDefault="006D1509" w:rsidP="006D150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D1509">
        <w:rPr>
          <w:color w:val="000000"/>
          <w:sz w:val="28"/>
          <w:szCs w:val="28"/>
        </w:rPr>
        <w:t> </w:t>
      </w:r>
      <w:proofErr w:type="spellStart"/>
      <w:r w:rsidRPr="006D1509">
        <w:rPr>
          <w:color w:val="FFFFFF"/>
          <w:sz w:val="28"/>
          <w:szCs w:val="28"/>
        </w:rPr>
        <w:t>Текстелиться</w:t>
      </w:r>
      <w:proofErr w:type="spellEnd"/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соответствии с ч.3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дискриминации.</w:t>
      </w:r>
      <w:r>
        <w:rPr>
          <w:color w:val="333333"/>
          <w:sz w:val="28"/>
          <w:szCs w:val="28"/>
        </w:rPr>
        <w:t xml:space="preserve"> </w:t>
      </w:r>
      <w:r w:rsidRPr="006D1509">
        <w:rPr>
          <w:color w:val="333333"/>
          <w:sz w:val="28"/>
          <w:szCs w:val="28"/>
        </w:rPr>
        <w:t>Работа в выходные и нерабочие праздничные дни запрещена (статья 113 ТК РФ), к исключительным случаям привлечения работников к работе в указанные дни относится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В зависимости от конкретных обстоятельств работодатель может привлекать работников к работе в выходные и нерабочие праздничные дни либо без их согласия, либо только с письменного согласия работника, а в отдельных случаях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без их согласия допускается для предотвращения катастрофы, производственной аварии либо устранения последствий катастрофы, производственной аварии или стихийного бедствия; предотвращения несчастных случаев, уничтожения или порчи имущества работодателя, государственного или муниципального имущества;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Работа в выходной или нерабочий праздничный день оплачивается не менее чем в двойном размере (статья 153 ТК РФ):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-сдельщикам - не менее чем по двойным сдельным расценкам;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6D1509" w:rsidRPr="006D1509" w:rsidRDefault="006D1509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-работникам, получающим оклад (должностной оклад), - в размере не менее одинарной дневной или часовой ставки - части оклада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сверх оклада (должностного оклада), если работа производилась сверх месячной нормы рабочего времени.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 xml:space="preserve">Конкретные размеры оплаты устанавливаются в коллективном договоре, локальном нормативном акте, который в этом случае должен </w:t>
      </w:r>
      <w:r w:rsidRPr="006D1509">
        <w:rPr>
          <w:color w:val="333333"/>
          <w:sz w:val="28"/>
          <w:szCs w:val="28"/>
        </w:rPr>
        <w:lastRenderedPageBreak/>
        <w:t>приниматься с учетом мнения представительного органа работников. Они могут быть повышены и по соглашению сторон трудового договора. Под окладом (должностным окладом) понимается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Согласно правовой позиции, изложенной в Постановлении Конституционного Суда Российской Федерации от 28.08.2018 № 26-П, оплата труда работников, привлекавшихся к работе в выходные и (или) нерабочие праздничные дни, включает в себя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компенсационные и стимулирующие выплаты, предусмотренные установленной для них системой оплаты труда.</w:t>
      </w:r>
    </w:p>
    <w:p w:rsidR="006D1509" w:rsidRPr="006D1509" w:rsidRDefault="006D1509" w:rsidP="006D15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6D1509">
        <w:rPr>
          <w:color w:val="333333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034704" w:rsidRPr="00687BC3" w:rsidRDefault="00034704" w:rsidP="006D15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B7260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2021-01-11T09:07:00Z</dcterms:created>
  <dcterms:modified xsi:type="dcterms:W3CDTF">2021-01-11T09:07:00Z</dcterms:modified>
</cp:coreProperties>
</file>